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5430" w14:textId="14CD91C4" w:rsidR="00E75403" w:rsidRPr="00E75403" w:rsidRDefault="00E75403" w:rsidP="00E75403">
      <w:pPr>
        <w:jc w:val="both"/>
        <w:rPr>
          <w:b/>
          <w:sz w:val="24"/>
          <w:szCs w:val="24"/>
          <w:u w:val="single"/>
        </w:rPr>
      </w:pPr>
      <w:r w:rsidRPr="00E75403">
        <w:rPr>
          <w:b/>
          <w:sz w:val="24"/>
          <w:szCs w:val="24"/>
          <w:u w:val="single"/>
        </w:rPr>
        <w:t>CONCRETE TRUCK APRON: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A5168" w14:paraId="4A288FE6" w14:textId="77777777" w:rsidTr="00E37CED">
        <w:tc>
          <w:tcPr>
            <w:tcW w:w="4788" w:type="dxa"/>
          </w:tcPr>
          <w:p w14:paraId="377E15CE" w14:textId="62476B2F" w:rsidR="001A5168" w:rsidRDefault="001A5168" w:rsidP="00E37CED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16"/>
              </w:rPr>
              <w:t xml:space="preserve">  (Rev. </w:t>
            </w:r>
            <w:r w:rsidR="00F435A6">
              <w:rPr>
                <w:sz w:val="16"/>
              </w:rPr>
              <w:t>12</w:t>
            </w:r>
            <w:r>
              <w:rPr>
                <w:sz w:val="16"/>
              </w:rPr>
              <w:t>-</w:t>
            </w:r>
            <w:r w:rsidR="00F435A6">
              <w:rPr>
                <w:sz w:val="16"/>
              </w:rPr>
              <w:t>23</w:t>
            </w:r>
            <w:r>
              <w:rPr>
                <w:sz w:val="16"/>
              </w:rPr>
              <w:t>-</w:t>
            </w:r>
            <w:r w:rsidR="00F435A6">
              <w:rPr>
                <w:sz w:val="16"/>
              </w:rPr>
              <w:t>25</w:t>
            </w:r>
            <w:r>
              <w:rPr>
                <w:sz w:val="16"/>
              </w:rPr>
              <w:t>)</w:t>
            </w:r>
          </w:p>
        </w:tc>
        <w:tc>
          <w:tcPr>
            <w:tcW w:w="4788" w:type="dxa"/>
          </w:tcPr>
          <w:p w14:paraId="7B175BC5" w14:textId="68E7C663" w:rsidR="001A5168" w:rsidRDefault="001A5168" w:rsidP="00E37CED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</w:rPr>
              <w:t>SPI 8-10</w:t>
            </w:r>
          </w:p>
        </w:tc>
      </w:tr>
    </w:tbl>
    <w:p w14:paraId="254A98F2" w14:textId="77777777" w:rsidR="00E75403" w:rsidRPr="00E75403" w:rsidRDefault="00E75403" w:rsidP="00E75403">
      <w:pPr>
        <w:rPr>
          <w:color w:val="000000"/>
          <w:sz w:val="16"/>
          <w:szCs w:val="16"/>
        </w:rPr>
      </w:pPr>
    </w:p>
    <w:p w14:paraId="39DA37C8" w14:textId="77777777" w:rsidR="00E75403" w:rsidRPr="00E75403" w:rsidRDefault="00E75403" w:rsidP="00E75403">
      <w:pPr>
        <w:rPr>
          <w:b/>
          <w:color w:val="000000"/>
          <w:sz w:val="24"/>
          <w:szCs w:val="24"/>
        </w:rPr>
      </w:pPr>
      <w:r w:rsidRPr="00E75403">
        <w:rPr>
          <w:b/>
          <w:color w:val="000000"/>
          <w:sz w:val="24"/>
          <w:szCs w:val="24"/>
        </w:rPr>
        <w:t>Description</w:t>
      </w:r>
    </w:p>
    <w:p w14:paraId="039AD285" w14:textId="77777777" w:rsidR="00E75403" w:rsidRPr="00E75403" w:rsidRDefault="00E75403" w:rsidP="00E75403">
      <w:pPr>
        <w:rPr>
          <w:color w:val="000000"/>
          <w:sz w:val="24"/>
          <w:szCs w:val="24"/>
        </w:rPr>
      </w:pPr>
    </w:p>
    <w:p w14:paraId="658AEA24" w14:textId="0F3A6950" w:rsidR="00E75403" w:rsidRPr="00E75403" w:rsidRDefault="00E75403" w:rsidP="00E75403">
      <w:pPr>
        <w:jc w:val="both"/>
        <w:rPr>
          <w:color w:val="000000"/>
          <w:sz w:val="24"/>
          <w:szCs w:val="24"/>
        </w:rPr>
      </w:pPr>
      <w:r w:rsidRPr="00E75403">
        <w:rPr>
          <w:color w:val="000000"/>
          <w:sz w:val="24"/>
          <w:szCs w:val="24"/>
        </w:rPr>
        <w:t xml:space="preserve">Construct </w:t>
      </w:r>
      <w:r w:rsidR="00F435A6">
        <w:rPr>
          <w:color w:val="000000"/>
          <w:sz w:val="24"/>
          <w:szCs w:val="24"/>
        </w:rPr>
        <w:t>the</w:t>
      </w:r>
      <w:r w:rsidRPr="00E75403">
        <w:rPr>
          <w:color w:val="000000"/>
          <w:sz w:val="24"/>
          <w:szCs w:val="24"/>
        </w:rPr>
        <w:t xml:space="preserve"> </w:t>
      </w:r>
      <w:r w:rsidR="00F435A6">
        <w:rPr>
          <w:color w:val="000000"/>
          <w:sz w:val="24"/>
          <w:szCs w:val="24"/>
        </w:rPr>
        <w:t>c</w:t>
      </w:r>
      <w:r w:rsidR="00F435A6" w:rsidRPr="00E75403">
        <w:rPr>
          <w:color w:val="000000"/>
          <w:sz w:val="24"/>
          <w:szCs w:val="24"/>
        </w:rPr>
        <w:t xml:space="preserve">oncrete </w:t>
      </w:r>
      <w:r w:rsidR="00F435A6">
        <w:rPr>
          <w:color w:val="000000"/>
          <w:sz w:val="24"/>
          <w:szCs w:val="24"/>
        </w:rPr>
        <w:t>t</w:t>
      </w:r>
      <w:r w:rsidR="00F435A6" w:rsidRPr="00E75403">
        <w:rPr>
          <w:color w:val="000000"/>
          <w:sz w:val="24"/>
          <w:szCs w:val="24"/>
        </w:rPr>
        <w:t xml:space="preserve">ruck </w:t>
      </w:r>
      <w:r w:rsidR="00F435A6">
        <w:rPr>
          <w:color w:val="000000"/>
          <w:sz w:val="24"/>
          <w:szCs w:val="24"/>
        </w:rPr>
        <w:t>a</w:t>
      </w:r>
      <w:r w:rsidR="00F435A6" w:rsidRPr="00E75403">
        <w:rPr>
          <w:color w:val="000000"/>
          <w:sz w:val="24"/>
          <w:szCs w:val="24"/>
        </w:rPr>
        <w:t xml:space="preserve">pron </w:t>
      </w:r>
      <w:r w:rsidRPr="00E75403">
        <w:rPr>
          <w:color w:val="000000"/>
          <w:sz w:val="24"/>
          <w:szCs w:val="24"/>
        </w:rPr>
        <w:t xml:space="preserve">in accordance with </w:t>
      </w:r>
      <w:r w:rsidR="00F435A6">
        <w:rPr>
          <w:color w:val="000000"/>
          <w:sz w:val="24"/>
          <w:szCs w:val="24"/>
        </w:rPr>
        <w:t xml:space="preserve">the appliable requirements of Division 7 </w:t>
      </w:r>
      <w:r w:rsidRPr="00E75403">
        <w:rPr>
          <w:color w:val="000000"/>
          <w:sz w:val="24"/>
          <w:szCs w:val="24"/>
        </w:rPr>
        <w:t xml:space="preserve">of the </w:t>
      </w:r>
      <w:r w:rsidRPr="00E75403">
        <w:rPr>
          <w:i/>
          <w:color w:val="000000"/>
          <w:sz w:val="24"/>
          <w:szCs w:val="24"/>
        </w:rPr>
        <w:t>Standard Specifications</w:t>
      </w:r>
      <w:r w:rsidR="00F435A6">
        <w:rPr>
          <w:iCs/>
          <w:color w:val="000000"/>
          <w:sz w:val="24"/>
          <w:szCs w:val="24"/>
        </w:rPr>
        <w:t xml:space="preserve">, </w:t>
      </w:r>
      <w:r w:rsidR="002F02D1">
        <w:rPr>
          <w:color w:val="000000"/>
          <w:sz w:val="24"/>
          <w:szCs w:val="24"/>
        </w:rPr>
        <w:t xml:space="preserve">the plans and this </w:t>
      </w:r>
      <w:r w:rsidR="00F435A6">
        <w:rPr>
          <w:color w:val="000000"/>
          <w:sz w:val="24"/>
          <w:szCs w:val="24"/>
        </w:rPr>
        <w:t xml:space="preserve">special </w:t>
      </w:r>
      <w:r w:rsidR="002F02D1">
        <w:rPr>
          <w:color w:val="000000"/>
          <w:sz w:val="24"/>
          <w:szCs w:val="24"/>
        </w:rPr>
        <w:t>provision</w:t>
      </w:r>
      <w:r w:rsidRPr="00E75403">
        <w:rPr>
          <w:color w:val="000000"/>
          <w:sz w:val="24"/>
          <w:szCs w:val="24"/>
        </w:rPr>
        <w:t>.</w:t>
      </w:r>
    </w:p>
    <w:p w14:paraId="1D455F44" w14:textId="77777777" w:rsidR="00E75403" w:rsidRPr="00E75403" w:rsidRDefault="00E75403" w:rsidP="00E75403">
      <w:pPr>
        <w:rPr>
          <w:color w:val="000000"/>
          <w:sz w:val="24"/>
          <w:szCs w:val="24"/>
        </w:rPr>
      </w:pPr>
    </w:p>
    <w:p w14:paraId="096474AB" w14:textId="77777777" w:rsidR="002F02D1" w:rsidRDefault="002F02D1" w:rsidP="00E7540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Materials</w:t>
      </w:r>
    </w:p>
    <w:p w14:paraId="6DDC8A1A" w14:textId="77777777" w:rsidR="002F02D1" w:rsidRDefault="002F02D1" w:rsidP="00E75403">
      <w:pPr>
        <w:rPr>
          <w:b/>
          <w:color w:val="000000"/>
          <w:sz w:val="24"/>
          <w:szCs w:val="24"/>
        </w:rPr>
      </w:pPr>
    </w:p>
    <w:p w14:paraId="6FFD83DC" w14:textId="2B2E7782" w:rsidR="00F435A6" w:rsidRDefault="00F435A6" w:rsidP="002F02D1">
      <w:pPr>
        <w:jc w:val="both"/>
        <w:rPr>
          <w:color w:val="000000"/>
          <w:sz w:val="24"/>
          <w:szCs w:val="24"/>
        </w:rPr>
      </w:pPr>
      <w:bookmarkStart w:id="0" w:name="_Hlk205981947"/>
      <w:r>
        <w:rPr>
          <w:sz w:val="24"/>
        </w:rPr>
        <w:t xml:space="preserve">Use materials </w:t>
      </w:r>
      <w:bookmarkEnd w:id="0"/>
      <w:r>
        <w:rPr>
          <w:sz w:val="24"/>
        </w:rPr>
        <w:t xml:space="preserve">meeting the </w:t>
      </w:r>
      <w:bookmarkStart w:id="1" w:name="_Hlk205981959"/>
      <w:r>
        <w:rPr>
          <w:sz w:val="24"/>
        </w:rPr>
        <w:t xml:space="preserve">applicable </w:t>
      </w:r>
      <w:bookmarkEnd w:id="1"/>
      <w:r>
        <w:rPr>
          <w:sz w:val="24"/>
        </w:rPr>
        <w:t xml:space="preserve">requirements of Article 710-2 and Section 700 of the </w:t>
      </w:r>
      <w:r w:rsidRPr="003C74EF">
        <w:rPr>
          <w:i/>
          <w:iCs/>
          <w:sz w:val="24"/>
        </w:rPr>
        <w:t>Standard Specifications</w:t>
      </w:r>
      <w:r>
        <w:rPr>
          <w:sz w:val="24"/>
        </w:rPr>
        <w:t xml:space="preserve"> </w:t>
      </w:r>
      <w:bookmarkStart w:id="2" w:name="_Hlk205982000"/>
      <w:r>
        <w:rPr>
          <w:sz w:val="24"/>
        </w:rPr>
        <w:t>except</w:t>
      </w:r>
      <w:bookmarkEnd w:id="2"/>
      <w:r>
        <w:rPr>
          <w:sz w:val="24"/>
        </w:rPr>
        <w:t xml:space="preserve"> the </w:t>
      </w:r>
      <w:r>
        <w:rPr>
          <w:color w:val="000000"/>
          <w:sz w:val="24"/>
          <w:szCs w:val="24"/>
        </w:rPr>
        <w:t xml:space="preserve">concrete truck apron respectively shall be </w:t>
      </w:r>
      <w:r w:rsidR="002F02D1">
        <w:rPr>
          <w:color w:val="000000"/>
          <w:sz w:val="24"/>
          <w:szCs w:val="24"/>
        </w:rPr>
        <w:t>Class A</w:t>
      </w:r>
      <w:r>
        <w:rPr>
          <w:color w:val="000000"/>
          <w:sz w:val="24"/>
          <w:szCs w:val="24"/>
        </w:rPr>
        <w:t>A.</w:t>
      </w:r>
    </w:p>
    <w:p w14:paraId="63AE240F" w14:textId="77777777" w:rsidR="00F435A6" w:rsidRDefault="00F435A6" w:rsidP="002F02D1">
      <w:pPr>
        <w:jc w:val="both"/>
        <w:rPr>
          <w:color w:val="000000"/>
          <w:sz w:val="24"/>
          <w:szCs w:val="24"/>
        </w:rPr>
      </w:pPr>
    </w:p>
    <w:p w14:paraId="40AAFA50" w14:textId="3C1F8343" w:rsidR="002F02D1" w:rsidRDefault="00F435A6" w:rsidP="002F02D1">
      <w:pPr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Portland cement</w:t>
      </w:r>
      <w:r w:rsidR="002F02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concrete shall </w:t>
      </w:r>
      <w:r w:rsidR="002F02D1">
        <w:rPr>
          <w:color w:val="000000"/>
          <w:sz w:val="24"/>
          <w:szCs w:val="24"/>
        </w:rPr>
        <w:t xml:space="preserve">meet the requirements of Section 1000 of the </w:t>
      </w:r>
      <w:r w:rsidR="002F02D1" w:rsidRPr="002F02D1">
        <w:rPr>
          <w:i/>
          <w:color w:val="000000"/>
          <w:sz w:val="24"/>
          <w:szCs w:val="24"/>
        </w:rPr>
        <w:t>Standard Specifications.</w:t>
      </w:r>
    </w:p>
    <w:p w14:paraId="7A519411" w14:textId="77777777" w:rsidR="002F02D1" w:rsidRDefault="002F02D1" w:rsidP="002F02D1">
      <w:pPr>
        <w:jc w:val="both"/>
        <w:rPr>
          <w:i/>
          <w:color w:val="000000"/>
          <w:sz w:val="24"/>
          <w:szCs w:val="24"/>
        </w:rPr>
      </w:pPr>
    </w:p>
    <w:p w14:paraId="26AA5B8B" w14:textId="2288FC9D" w:rsidR="002F02D1" w:rsidRPr="002F02D1" w:rsidRDefault="002F02D1" w:rsidP="002F02D1">
      <w:pPr>
        <w:jc w:val="both"/>
        <w:rPr>
          <w:color w:val="000000"/>
          <w:sz w:val="24"/>
          <w:szCs w:val="24"/>
        </w:rPr>
      </w:pPr>
      <w:r w:rsidRPr="002F02D1">
        <w:rPr>
          <w:color w:val="000000"/>
          <w:sz w:val="24"/>
          <w:szCs w:val="24"/>
        </w:rPr>
        <w:t xml:space="preserve">Wire </w:t>
      </w:r>
      <w:r w:rsidR="00F435A6">
        <w:rPr>
          <w:color w:val="000000"/>
          <w:sz w:val="24"/>
          <w:szCs w:val="24"/>
        </w:rPr>
        <w:t>welded</w:t>
      </w:r>
      <w:r w:rsidR="00F435A6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reinforcement shall </w:t>
      </w:r>
      <w:r w:rsidR="00F435A6">
        <w:rPr>
          <w:color w:val="000000"/>
          <w:sz w:val="24"/>
          <w:szCs w:val="24"/>
        </w:rPr>
        <w:t xml:space="preserve">meet the requirements </w:t>
      </w:r>
      <w:r w:rsidR="0005627F">
        <w:rPr>
          <w:color w:val="000000"/>
          <w:sz w:val="24"/>
          <w:szCs w:val="24"/>
        </w:rPr>
        <w:t xml:space="preserve">of Section 1070 of the </w:t>
      </w:r>
      <w:r w:rsidR="0005627F" w:rsidRPr="0005627F">
        <w:rPr>
          <w:i/>
          <w:color w:val="000000"/>
          <w:sz w:val="24"/>
          <w:szCs w:val="24"/>
        </w:rPr>
        <w:t>Standard Specifications</w:t>
      </w:r>
      <w:r w:rsidR="0005627F">
        <w:rPr>
          <w:color w:val="000000"/>
          <w:sz w:val="24"/>
          <w:szCs w:val="24"/>
        </w:rPr>
        <w:t>.</w:t>
      </w:r>
    </w:p>
    <w:p w14:paraId="7086B7A3" w14:textId="77777777" w:rsidR="002F02D1" w:rsidRDefault="002F02D1" w:rsidP="00E75403">
      <w:pPr>
        <w:rPr>
          <w:b/>
          <w:color w:val="000000"/>
          <w:sz w:val="24"/>
          <w:szCs w:val="24"/>
        </w:rPr>
      </w:pPr>
    </w:p>
    <w:p w14:paraId="5D75F2EC" w14:textId="5C14B28C" w:rsidR="00F435A6" w:rsidRPr="00E75403" w:rsidRDefault="00F435A6" w:rsidP="00F435A6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Construction Methods</w:t>
      </w:r>
    </w:p>
    <w:p w14:paraId="42E0305E" w14:textId="77777777" w:rsidR="00F435A6" w:rsidRDefault="00F435A6" w:rsidP="00E75403">
      <w:pPr>
        <w:rPr>
          <w:b/>
          <w:color w:val="000000"/>
          <w:sz w:val="24"/>
          <w:szCs w:val="24"/>
        </w:rPr>
      </w:pPr>
    </w:p>
    <w:p w14:paraId="001DC9CB" w14:textId="77777777" w:rsidR="00F435A6" w:rsidRDefault="00F435A6" w:rsidP="00F435A6">
      <w:pPr>
        <w:jc w:val="both"/>
        <w:rPr>
          <w:sz w:val="24"/>
        </w:rPr>
      </w:pPr>
      <w:r>
        <w:rPr>
          <w:sz w:val="24"/>
        </w:rPr>
        <w:t xml:space="preserve">Construct concrete truck apron </w:t>
      </w:r>
      <w:r w:rsidRPr="00967F1F">
        <w:rPr>
          <w:sz w:val="24"/>
        </w:rPr>
        <w:t xml:space="preserve">in accordance with </w:t>
      </w:r>
      <w:r>
        <w:rPr>
          <w:sz w:val="24"/>
        </w:rPr>
        <w:t xml:space="preserve">the applicable requirements of Article 710-3 and Section 700 </w:t>
      </w:r>
      <w:r w:rsidRPr="00967F1F">
        <w:rPr>
          <w:sz w:val="24"/>
        </w:rPr>
        <w:t xml:space="preserve">of the </w:t>
      </w:r>
      <w:r w:rsidRPr="00967F1F">
        <w:rPr>
          <w:i/>
          <w:iCs/>
          <w:sz w:val="24"/>
        </w:rPr>
        <w:t>Standard Specifications</w:t>
      </w:r>
      <w:r>
        <w:rPr>
          <w:sz w:val="24"/>
        </w:rPr>
        <w:t xml:space="preserve">, the plans and as directed by the Engineer.  Final surface testing is not required. </w:t>
      </w:r>
    </w:p>
    <w:p w14:paraId="11D332FC" w14:textId="77777777" w:rsidR="00F435A6" w:rsidRDefault="00F435A6" w:rsidP="00F435A6">
      <w:pPr>
        <w:jc w:val="both"/>
        <w:rPr>
          <w:sz w:val="24"/>
        </w:rPr>
      </w:pPr>
    </w:p>
    <w:p w14:paraId="0FDAF5F1" w14:textId="7E143EFF" w:rsidR="00F435A6" w:rsidRPr="00F435A6" w:rsidRDefault="00F435A6" w:rsidP="00F435A6">
      <w:pPr>
        <w:jc w:val="both"/>
        <w:rPr>
          <w:sz w:val="24"/>
        </w:rPr>
      </w:pPr>
      <w:r w:rsidRPr="003C74EF">
        <w:rPr>
          <w:sz w:val="24"/>
        </w:rPr>
        <w:t xml:space="preserve">Construct </w:t>
      </w:r>
      <w:r>
        <w:rPr>
          <w:sz w:val="24"/>
        </w:rPr>
        <w:t xml:space="preserve">concrete truck apron </w:t>
      </w:r>
      <w:r w:rsidRPr="003C74EF">
        <w:rPr>
          <w:sz w:val="24"/>
        </w:rPr>
        <w:t xml:space="preserve">consisting of Portland cement concrete pavement reinforced with </w:t>
      </w:r>
      <w:r>
        <w:rPr>
          <w:sz w:val="24"/>
        </w:rPr>
        <w:t xml:space="preserve">steel </w:t>
      </w:r>
      <w:r w:rsidRPr="003C74EF">
        <w:rPr>
          <w:sz w:val="24"/>
        </w:rPr>
        <w:t xml:space="preserve">welded wire </w:t>
      </w:r>
      <w:r>
        <w:rPr>
          <w:sz w:val="24"/>
        </w:rPr>
        <w:t>reinforcement</w:t>
      </w:r>
      <w:r w:rsidRPr="003C74EF">
        <w:rPr>
          <w:sz w:val="24"/>
        </w:rPr>
        <w:t>, size 4x4 W</w:t>
      </w:r>
      <w:r>
        <w:rPr>
          <w:sz w:val="24"/>
        </w:rPr>
        <w:t>5</w:t>
      </w:r>
      <w:r w:rsidRPr="003C74EF">
        <w:rPr>
          <w:sz w:val="24"/>
        </w:rPr>
        <w:t>.</w:t>
      </w:r>
      <w:r>
        <w:rPr>
          <w:sz w:val="24"/>
        </w:rPr>
        <w:t>5</w:t>
      </w:r>
      <w:r w:rsidRPr="003C74EF">
        <w:rPr>
          <w:sz w:val="24"/>
        </w:rPr>
        <w:t>XW</w:t>
      </w:r>
      <w:r>
        <w:rPr>
          <w:sz w:val="24"/>
        </w:rPr>
        <w:t>5</w:t>
      </w:r>
      <w:r w:rsidRPr="003C74EF">
        <w:rPr>
          <w:sz w:val="24"/>
        </w:rPr>
        <w:t>.</w:t>
      </w:r>
      <w:r>
        <w:rPr>
          <w:sz w:val="24"/>
        </w:rPr>
        <w:t>5 or 6x6 W8.5X8.5</w:t>
      </w:r>
      <w:r w:rsidRPr="003C74EF">
        <w:rPr>
          <w:sz w:val="24"/>
        </w:rPr>
        <w:t xml:space="preserve">.  A heavier wire </w:t>
      </w:r>
      <w:r>
        <w:rPr>
          <w:sz w:val="24"/>
        </w:rPr>
        <w:t>reinforcement</w:t>
      </w:r>
      <w:r w:rsidRPr="003C74EF">
        <w:rPr>
          <w:sz w:val="24"/>
        </w:rPr>
        <w:t>, approved by the Engineer, may be used at no additional cost to the Department.</w:t>
      </w:r>
      <w:r>
        <w:rPr>
          <w:sz w:val="24"/>
        </w:rPr>
        <w:t xml:space="preserve">  </w:t>
      </w:r>
      <w:r w:rsidRPr="003C74EF">
        <w:rPr>
          <w:sz w:val="24"/>
        </w:rPr>
        <w:t xml:space="preserve">Position the </w:t>
      </w:r>
      <w:r>
        <w:rPr>
          <w:sz w:val="24"/>
        </w:rPr>
        <w:t xml:space="preserve">steel </w:t>
      </w:r>
      <w:r w:rsidRPr="003C74EF">
        <w:rPr>
          <w:sz w:val="24"/>
        </w:rPr>
        <w:t xml:space="preserve">welded wire </w:t>
      </w:r>
      <w:r>
        <w:rPr>
          <w:sz w:val="24"/>
        </w:rPr>
        <w:t>reinforcement</w:t>
      </w:r>
      <w:r w:rsidRPr="003C74EF">
        <w:rPr>
          <w:sz w:val="24"/>
        </w:rPr>
        <w:t xml:space="preserve"> at mid-depth of the slab.  </w:t>
      </w:r>
      <w:r w:rsidRPr="00235B56">
        <w:rPr>
          <w:sz w:val="24"/>
        </w:rPr>
        <w:t xml:space="preserve">Joints for the </w:t>
      </w:r>
      <w:r>
        <w:rPr>
          <w:sz w:val="24"/>
        </w:rPr>
        <w:t>c</w:t>
      </w:r>
      <w:r w:rsidRPr="00235B56">
        <w:rPr>
          <w:sz w:val="24"/>
        </w:rPr>
        <w:t xml:space="preserve">oncrete </w:t>
      </w:r>
      <w:r>
        <w:rPr>
          <w:sz w:val="24"/>
        </w:rPr>
        <w:t>t</w:t>
      </w:r>
      <w:r w:rsidRPr="00235B56">
        <w:rPr>
          <w:sz w:val="24"/>
        </w:rPr>
        <w:t xml:space="preserve">ruck </w:t>
      </w:r>
      <w:r>
        <w:rPr>
          <w:sz w:val="24"/>
        </w:rPr>
        <w:t>a</w:t>
      </w:r>
      <w:r w:rsidRPr="00235B56">
        <w:rPr>
          <w:sz w:val="24"/>
        </w:rPr>
        <w:t xml:space="preserve">pron shall be radial. </w:t>
      </w:r>
      <w:r>
        <w:rPr>
          <w:sz w:val="24"/>
        </w:rPr>
        <w:t xml:space="preserve"> </w:t>
      </w:r>
      <w:r w:rsidRPr="00235B56">
        <w:rPr>
          <w:sz w:val="24"/>
        </w:rPr>
        <w:t>Expansion joint spacing shall not exceed 60</w:t>
      </w:r>
      <w:r>
        <w:rPr>
          <w:sz w:val="24"/>
        </w:rPr>
        <w:t xml:space="preserve"> feet</w:t>
      </w:r>
      <w:r w:rsidRPr="00235B56">
        <w:rPr>
          <w:sz w:val="24"/>
        </w:rPr>
        <w:t xml:space="preserve"> and contraction joint spacing shall not exceed 15</w:t>
      </w:r>
      <w:r>
        <w:rPr>
          <w:sz w:val="24"/>
        </w:rPr>
        <w:t xml:space="preserve"> feet</w:t>
      </w:r>
      <w:r w:rsidRPr="00235B56">
        <w:rPr>
          <w:sz w:val="24"/>
        </w:rPr>
        <w:t xml:space="preserve"> on centers, measured at the outside edge of the apron, or as directed by the Engineer.</w:t>
      </w:r>
    </w:p>
    <w:p w14:paraId="522EB1C0" w14:textId="77777777" w:rsidR="00F435A6" w:rsidRDefault="00F435A6" w:rsidP="00E75403">
      <w:pPr>
        <w:rPr>
          <w:b/>
          <w:color w:val="000000"/>
          <w:sz w:val="24"/>
          <w:szCs w:val="24"/>
        </w:rPr>
      </w:pPr>
    </w:p>
    <w:p w14:paraId="7B3FE7BD" w14:textId="2DFC4B44" w:rsidR="00E75403" w:rsidRPr="00E75403" w:rsidRDefault="00E75403" w:rsidP="00E75403">
      <w:pPr>
        <w:rPr>
          <w:b/>
          <w:color w:val="000000"/>
          <w:sz w:val="24"/>
          <w:szCs w:val="24"/>
        </w:rPr>
      </w:pPr>
      <w:r w:rsidRPr="00E75403">
        <w:rPr>
          <w:b/>
          <w:color w:val="000000"/>
          <w:sz w:val="24"/>
          <w:szCs w:val="24"/>
        </w:rPr>
        <w:t>Measurement and Payment</w:t>
      </w:r>
    </w:p>
    <w:p w14:paraId="5DAA43DB" w14:textId="77777777" w:rsidR="00E75403" w:rsidRPr="00E75403" w:rsidRDefault="00E75403" w:rsidP="00E75403">
      <w:pPr>
        <w:rPr>
          <w:color w:val="000000"/>
          <w:sz w:val="24"/>
          <w:szCs w:val="24"/>
        </w:rPr>
      </w:pPr>
    </w:p>
    <w:p w14:paraId="67FA0EAF" w14:textId="47366390" w:rsidR="00E75403" w:rsidRPr="00E75403" w:rsidRDefault="00787D00" w:rsidP="00E75403">
      <w:pPr>
        <w:jc w:val="both"/>
        <w:rPr>
          <w:color w:val="000000"/>
          <w:sz w:val="24"/>
          <w:szCs w:val="24"/>
        </w:rPr>
      </w:pPr>
      <w:r>
        <w:rPr>
          <w:i/>
          <w:iCs/>
          <w:sz w:val="24"/>
        </w:rPr>
        <w:t>12</w:t>
      </w:r>
      <w:r w:rsidRPr="00E75403">
        <w:rPr>
          <w:i/>
          <w:color w:val="000000"/>
          <w:sz w:val="24"/>
          <w:szCs w:val="24"/>
        </w:rPr>
        <w:t xml:space="preserve">" </w:t>
      </w:r>
      <w:r w:rsidR="00E75403" w:rsidRPr="00E75403">
        <w:rPr>
          <w:i/>
          <w:color w:val="000000"/>
          <w:sz w:val="24"/>
          <w:szCs w:val="24"/>
        </w:rPr>
        <w:t>Concrete Truck Apron</w:t>
      </w:r>
      <w:r w:rsidR="00E75403" w:rsidRPr="00E75403">
        <w:rPr>
          <w:color w:val="000000"/>
          <w:sz w:val="24"/>
          <w:szCs w:val="24"/>
        </w:rPr>
        <w:t xml:space="preserve"> will be measured and paid for in square </w:t>
      </w:r>
      <w:r>
        <w:rPr>
          <w:color w:val="000000"/>
          <w:sz w:val="24"/>
          <w:szCs w:val="24"/>
        </w:rPr>
        <w:t>yards</w:t>
      </w:r>
      <w:r w:rsidR="00F435A6" w:rsidRPr="00131948">
        <w:rPr>
          <w:sz w:val="24"/>
        </w:rPr>
        <w:t>, measured along the surface of the completed and accepted work</w:t>
      </w:r>
      <w:r w:rsidR="00E75403" w:rsidRPr="00E75403">
        <w:rPr>
          <w:color w:val="000000"/>
          <w:sz w:val="24"/>
          <w:szCs w:val="24"/>
        </w:rPr>
        <w:t>.</w:t>
      </w:r>
      <w:r w:rsidR="0005627F">
        <w:rPr>
          <w:color w:val="000000"/>
          <w:sz w:val="24"/>
          <w:szCs w:val="24"/>
        </w:rPr>
        <w:t xml:space="preserve">  </w:t>
      </w:r>
      <w:r w:rsidR="00E75403" w:rsidRPr="00E75403">
        <w:rPr>
          <w:color w:val="000000"/>
          <w:sz w:val="24"/>
          <w:szCs w:val="24"/>
        </w:rPr>
        <w:t xml:space="preserve">Such price and payment will be full compensation for all work of constructing the </w:t>
      </w:r>
      <w:r w:rsidR="0005627F">
        <w:rPr>
          <w:color w:val="000000"/>
          <w:sz w:val="24"/>
          <w:szCs w:val="24"/>
        </w:rPr>
        <w:t xml:space="preserve">truck </w:t>
      </w:r>
      <w:r w:rsidR="00E75403" w:rsidRPr="00E75403">
        <w:rPr>
          <w:color w:val="000000"/>
          <w:sz w:val="24"/>
          <w:szCs w:val="24"/>
        </w:rPr>
        <w:t>apron, including but not limited to excavating and backfilling, furnishing and placing concrete, and constructing joints.</w:t>
      </w:r>
    </w:p>
    <w:p w14:paraId="7F123F83" w14:textId="77777777" w:rsidR="00E75403" w:rsidRPr="00E75403" w:rsidRDefault="00E75403" w:rsidP="00E75403">
      <w:pPr>
        <w:jc w:val="both"/>
        <w:rPr>
          <w:color w:val="000000"/>
          <w:sz w:val="24"/>
          <w:szCs w:val="24"/>
        </w:rPr>
      </w:pPr>
    </w:p>
    <w:p w14:paraId="7A1B9306" w14:textId="77777777" w:rsidR="00E75403" w:rsidRPr="00E75403" w:rsidRDefault="00E75403" w:rsidP="00E75403">
      <w:pPr>
        <w:rPr>
          <w:color w:val="000000"/>
          <w:sz w:val="24"/>
          <w:szCs w:val="24"/>
        </w:rPr>
      </w:pPr>
      <w:r w:rsidRPr="00E75403">
        <w:rPr>
          <w:color w:val="000000"/>
          <w:sz w:val="24"/>
          <w:szCs w:val="24"/>
        </w:rPr>
        <w:t>Payment will be made under:</w:t>
      </w:r>
    </w:p>
    <w:p w14:paraId="0EE458ED" w14:textId="77777777" w:rsidR="00E75403" w:rsidRPr="00E75403" w:rsidRDefault="00E75403" w:rsidP="00E75403">
      <w:pPr>
        <w:rPr>
          <w:color w:val="000000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842"/>
        <w:gridCol w:w="4608"/>
      </w:tblGrid>
      <w:tr w:rsidR="00E75403" w:rsidRPr="00E75403" w14:paraId="470BF7A1" w14:textId="77777777" w:rsidTr="004526E1">
        <w:tc>
          <w:tcPr>
            <w:tcW w:w="4842" w:type="dxa"/>
          </w:tcPr>
          <w:p w14:paraId="6934266E" w14:textId="77777777" w:rsidR="00E75403" w:rsidRPr="00E75403" w:rsidRDefault="00E75403" w:rsidP="004526E1">
            <w:pPr>
              <w:rPr>
                <w:b/>
                <w:color w:val="000000"/>
                <w:sz w:val="24"/>
                <w:szCs w:val="24"/>
              </w:rPr>
            </w:pPr>
            <w:r w:rsidRPr="00E75403">
              <w:rPr>
                <w:b/>
                <w:color w:val="000000"/>
                <w:sz w:val="24"/>
                <w:szCs w:val="24"/>
              </w:rPr>
              <w:t>Pay Item</w:t>
            </w:r>
          </w:p>
        </w:tc>
        <w:tc>
          <w:tcPr>
            <w:tcW w:w="4608" w:type="dxa"/>
          </w:tcPr>
          <w:p w14:paraId="10B33BDB" w14:textId="77777777" w:rsidR="00E75403" w:rsidRPr="00E75403" w:rsidRDefault="00E75403" w:rsidP="004526E1">
            <w:pPr>
              <w:rPr>
                <w:b/>
                <w:color w:val="000000"/>
                <w:sz w:val="24"/>
                <w:szCs w:val="24"/>
              </w:rPr>
            </w:pPr>
            <w:r w:rsidRPr="00E75403">
              <w:rPr>
                <w:b/>
                <w:color w:val="000000"/>
                <w:sz w:val="24"/>
                <w:szCs w:val="24"/>
              </w:rPr>
              <w:t>Pay Unit</w:t>
            </w:r>
          </w:p>
        </w:tc>
      </w:tr>
      <w:tr w:rsidR="00E75403" w:rsidRPr="00E75403" w14:paraId="3DCA1182" w14:textId="77777777" w:rsidTr="00F435A6">
        <w:trPr>
          <w:trHeight w:val="360"/>
        </w:trPr>
        <w:tc>
          <w:tcPr>
            <w:tcW w:w="4842" w:type="dxa"/>
          </w:tcPr>
          <w:p w14:paraId="3127C8BC" w14:textId="7F0FADB8" w:rsidR="00E75403" w:rsidRPr="00E75403" w:rsidRDefault="00787D00" w:rsidP="004526E1">
            <w:pPr>
              <w:rPr>
                <w:color w:val="000000"/>
                <w:sz w:val="24"/>
                <w:szCs w:val="24"/>
              </w:rPr>
            </w:pPr>
            <w:r w:rsidRPr="007F1C42">
              <w:rPr>
                <w:sz w:val="24"/>
              </w:rPr>
              <w:t>12</w:t>
            </w:r>
            <w:r w:rsidRPr="007F1C42">
              <w:rPr>
                <w:color w:val="000000"/>
                <w:sz w:val="24"/>
                <w:szCs w:val="24"/>
              </w:rPr>
              <w:t xml:space="preserve">" </w:t>
            </w:r>
            <w:r w:rsidR="00E75403" w:rsidRPr="00E75403">
              <w:rPr>
                <w:color w:val="000000"/>
                <w:sz w:val="24"/>
                <w:szCs w:val="24"/>
              </w:rPr>
              <w:t>Concrete Truck Apron</w:t>
            </w:r>
          </w:p>
        </w:tc>
        <w:tc>
          <w:tcPr>
            <w:tcW w:w="4608" w:type="dxa"/>
          </w:tcPr>
          <w:p w14:paraId="5E4CA7B1" w14:textId="0E31D2BE" w:rsidR="00F435A6" w:rsidRPr="00E75403" w:rsidRDefault="00E75403" w:rsidP="004526E1">
            <w:pPr>
              <w:rPr>
                <w:color w:val="000000"/>
                <w:sz w:val="24"/>
                <w:szCs w:val="24"/>
              </w:rPr>
            </w:pPr>
            <w:r w:rsidRPr="00E75403">
              <w:rPr>
                <w:color w:val="000000"/>
                <w:sz w:val="24"/>
                <w:szCs w:val="24"/>
              </w:rPr>
              <w:t>Square Yard</w:t>
            </w:r>
          </w:p>
        </w:tc>
      </w:tr>
    </w:tbl>
    <w:p w14:paraId="0C0E8AC3" w14:textId="77777777" w:rsidR="00B9020E" w:rsidRPr="00E75403" w:rsidRDefault="00B9020E">
      <w:pPr>
        <w:rPr>
          <w:sz w:val="24"/>
          <w:szCs w:val="24"/>
        </w:rPr>
      </w:pPr>
    </w:p>
    <w:sectPr w:rsidR="00B9020E" w:rsidRPr="00E7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03"/>
    <w:rsid w:val="0005627F"/>
    <w:rsid w:val="00117D9E"/>
    <w:rsid w:val="001A5168"/>
    <w:rsid w:val="001E139B"/>
    <w:rsid w:val="001E595A"/>
    <w:rsid w:val="002D22C1"/>
    <w:rsid w:val="002F02D1"/>
    <w:rsid w:val="00307756"/>
    <w:rsid w:val="00464C92"/>
    <w:rsid w:val="004A3026"/>
    <w:rsid w:val="005464FD"/>
    <w:rsid w:val="00764570"/>
    <w:rsid w:val="00787D00"/>
    <w:rsid w:val="007F1C42"/>
    <w:rsid w:val="00A233C2"/>
    <w:rsid w:val="00A87518"/>
    <w:rsid w:val="00B9020E"/>
    <w:rsid w:val="00E00738"/>
    <w:rsid w:val="00E75403"/>
    <w:rsid w:val="00F435A6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3489"/>
  <w15:docId w15:val="{BDDCBC93-92B5-4B33-ACCB-84461FF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4FD"/>
    <w:pPr>
      <w:keepNext/>
      <w:keepLines/>
      <w:jc w:val="both"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4FD"/>
    <w:pPr>
      <w:keepNext/>
      <w:keepLines/>
      <w:jc w:val="both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4FD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4FD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4FD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4FD"/>
    <w:rPr>
      <w:rFonts w:ascii="Times New Roman" w:eastAsiaTheme="majorEastAsia" w:hAnsi="Times New Roman" w:cstheme="majorBidi"/>
      <w:b/>
      <w:bCs/>
      <w:sz w:val="24"/>
      <w:u w:val="single"/>
    </w:rPr>
  </w:style>
  <w:style w:type="paragraph" w:styleId="Revision">
    <w:name w:val="Revision"/>
    <w:hidden/>
    <w:uiPriority w:val="99"/>
    <w:semiHidden/>
    <w:rsid w:val="00F4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738"/>
  </w:style>
  <w:style w:type="character" w:customStyle="1" w:styleId="CommentTextChar">
    <w:name w:val="Comment Text Char"/>
    <w:basedOn w:val="DefaultParagraphFont"/>
    <w:link w:val="CommentText"/>
    <w:uiPriority w:val="99"/>
    <w:rsid w:val="00E007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File_x0020_Category xmlns="18eea951-c1a4-4244-8cc7-be1efbfe7cb6" xsi:nil="true"/>
    <Provision xmlns="18eea951-c1a4-4244-8cc7-be1efbfe7cb6">CONCRETE TRUCK APRON</Provision>
    <No_x002e_ xmlns="18eea951-c1a4-4244-8cc7-be1efbfe7cb6">SPI 08</No_x002e_>
    <Provision_x0020_Year xmlns="18eea951-c1a4-4244-8cc7-be1efbfe7cb6">2024 Standard Specifications</Provision_x0020_Year>
    <Provision_x0020_Number xmlns="18eea951-c1a4-4244-8cc7-be1efbfe7cb6">SPI 08-10</Provision_x0020_Number>
    <Let_x0020_Date xmlns="18eea951-c1a4-4244-8cc7-be1efbfe7cb6">2025-12</Let_x0020_Date>
  </documentManagement>
</p:properties>
</file>

<file path=customXml/itemProps1.xml><?xml version="1.0" encoding="utf-8"?>
<ds:datastoreItem xmlns:ds="http://schemas.openxmlformats.org/officeDocument/2006/customXml" ds:itemID="{73E4E451-78BE-46B9-BD68-45F61B5D69C0}"/>
</file>

<file path=customXml/itemProps2.xml><?xml version="1.0" encoding="utf-8"?>
<ds:datastoreItem xmlns:ds="http://schemas.openxmlformats.org/officeDocument/2006/customXml" ds:itemID="{949864C6-5A85-4245-AEE4-8BC2AA0D305B}"/>
</file>

<file path=customXml/itemProps3.xml><?xml version="1.0" encoding="utf-8"?>
<ds:datastoreItem xmlns:ds="http://schemas.openxmlformats.org/officeDocument/2006/customXml" ds:itemID="{2B3DF263-090A-4043-9363-5F8214DEDF66}"/>
</file>

<file path=customXml/itemProps4.xml><?xml version="1.0" encoding="utf-8"?>
<ds:datastoreItem xmlns:ds="http://schemas.openxmlformats.org/officeDocument/2006/customXml" ds:itemID="{4CAE010A-5E49-4868-A105-58E7C6956C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TRUCK APRON</dc:title>
  <dc:creator>Bullard, Aaron</dc:creator>
  <cp:lastModifiedBy>Penny, Lisa E</cp:lastModifiedBy>
  <cp:revision>4</cp:revision>
  <dcterms:created xsi:type="dcterms:W3CDTF">2025-11-10T12:58:00Z</dcterms:created>
  <dcterms:modified xsi:type="dcterms:W3CDTF">2025-11-10T14:36:00Z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29600</vt:r8>
  </property>
</Properties>
</file>